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57" w:rsidRDefault="00EE7DAD" w:rsidP="00F1455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DA </w:t>
      </w:r>
      <w:r w:rsidR="00F14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ATUAÇÃO </w:t>
      </w:r>
      <w:r w:rsidR="00870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CONJUNTA</w:t>
      </w:r>
      <w:r w:rsidR="00CE1C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COM PERSPECTIVA DE GÊNERO</w:t>
      </w:r>
      <w:r w:rsidR="00870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46DD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iniciativas</w:t>
      </w:r>
      <w:bookmarkStart w:id="0" w:name="_GoBack"/>
      <w:bookmarkEnd w:id="0"/>
      <w:r w:rsidR="00870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da OAB, CNJ e CNMP</w:t>
      </w:r>
    </w:p>
    <w:p w:rsidR="00F14557" w:rsidRPr="001056FC" w:rsidRDefault="00F14557" w:rsidP="00F14557">
      <w:pPr>
        <w:spacing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056F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Ezilda</w:t>
      </w:r>
      <w:proofErr w:type="spellEnd"/>
      <w:r w:rsidRPr="001056F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Melo</w:t>
      </w:r>
      <w:r>
        <w:rPr>
          <w:rStyle w:val="Refdenotaderodap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footnoteReference w:id="1"/>
      </w:r>
    </w:p>
    <w:p w:rsidR="00723D95" w:rsidRDefault="00211DC1" w:rsidP="00934DD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As</w:t>
      </w:r>
      <w:r w:rsidR="00EC2A65" w:rsidRPr="00D22383">
        <w:t xml:space="preserve"> temática de gênero, classe e são essenciais para </w:t>
      </w:r>
      <w:r w:rsidR="00DB468B">
        <w:t>a compreensão d</w:t>
      </w:r>
      <w:r w:rsidR="00934DDB" w:rsidRPr="00D22383">
        <w:t>a atuação jurídica</w:t>
      </w:r>
      <w:r w:rsidR="00723D95">
        <w:t xml:space="preserve"> e</w:t>
      </w:r>
      <w:r w:rsidR="00DB468B">
        <w:t>,</w:t>
      </w:r>
      <w:r w:rsidR="00723D95">
        <w:t xml:space="preserve"> consequentemente</w:t>
      </w:r>
      <w:r w:rsidR="00DB468B">
        <w:t>,</w:t>
      </w:r>
      <w:r w:rsidR="00723D95">
        <w:t xml:space="preserve"> combater práticas seculares de exclusão e de preconceitos</w:t>
      </w:r>
      <w:r w:rsidR="00934DDB" w:rsidRPr="00D22383">
        <w:t>.</w:t>
      </w:r>
      <w:r w:rsidR="00870F1F">
        <w:t xml:space="preserve"> </w:t>
      </w:r>
      <w:r w:rsidR="00723D95">
        <w:t>Coincidiu com o período pandêmico</w:t>
      </w:r>
      <w:r w:rsidR="00EC2A65" w:rsidRPr="00D22383">
        <w:t xml:space="preserve"> </w:t>
      </w:r>
      <w:r w:rsidR="00561A43">
        <w:t>algumas modificações</w:t>
      </w:r>
      <w:r w:rsidR="00EC2A65" w:rsidRPr="00D22383">
        <w:t xml:space="preserve"> institucionais</w:t>
      </w:r>
      <w:r w:rsidR="00723D95">
        <w:t xml:space="preserve"> promovid</w:t>
      </w:r>
      <w:r w:rsidR="00561A43">
        <w:t>as por associações de classe</w:t>
      </w:r>
      <w:r w:rsidR="00723D95">
        <w:t xml:space="preserve"> da Advocacia, da Magistratura e do Ministério Público</w:t>
      </w:r>
      <w:r>
        <w:t xml:space="preserve"> no que se refere a questões de gênero</w:t>
      </w:r>
      <w:r w:rsidR="00EC2A65" w:rsidRPr="00D22383">
        <w:t>.</w:t>
      </w:r>
    </w:p>
    <w:p w:rsidR="00E25893" w:rsidRDefault="00EC2A65" w:rsidP="00934DD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22383">
        <w:t xml:space="preserve"> O Conselho Federal da OAB,</w:t>
      </w:r>
      <w:r w:rsidR="00934DDB" w:rsidRPr="00D22383">
        <w:t xml:space="preserve"> </w:t>
      </w:r>
      <w:r w:rsidRPr="00D22383">
        <w:t>em dezembro de 2020, historicamente aprovou</w:t>
      </w:r>
      <w:r w:rsidRPr="00D22383">
        <w:rPr>
          <w:shd w:val="clear" w:color="auto" w:fill="FFFFFF"/>
        </w:rPr>
        <w:t xml:space="preserve"> a implementação de paridade de gênero e de cotas raciais de 30% nos órgãos da entidade. A </w:t>
      </w:r>
      <w:r w:rsidR="00934DDB" w:rsidRPr="00D22383">
        <w:rPr>
          <w:shd w:val="clear" w:color="auto" w:fill="FFFFFF"/>
        </w:rPr>
        <w:t>ONU</w:t>
      </w:r>
      <w:r w:rsidRPr="00D22383">
        <w:rPr>
          <w:shd w:val="clear" w:color="auto" w:fill="FFFFFF"/>
        </w:rPr>
        <w:t xml:space="preserve"> apontou a necessidade de promoção da igualdade de gênero</w:t>
      </w:r>
      <w:r w:rsidR="00934DDB" w:rsidRPr="00D22383">
        <w:rPr>
          <w:shd w:val="clear" w:color="auto" w:fill="FFFFFF"/>
        </w:rPr>
        <w:t xml:space="preserve">, desde 2015, como </w:t>
      </w:r>
      <w:r w:rsidRPr="00D22383">
        <w:rPr>
          <w:shd w:val="clear" w:color="auto" w:fill="FFFFFF"/>
        </w:rPr>
        <w:t>um dos 17 Objetivos de Desenvolvimento Sustentável (ODS).</w:t>
      </w:r>
      <w:r w:rsidRPr="00D22383">
        <w:t xml:space="preserve"> </w:t>
      </w:r>
      <w:r w:rsidR="00193A4D">
        <w:t>Em sua 323ª sess</w:t>
      </w:r>
      <w:r w:rsidR="00934DDB" w:rsidRPr="00D22383">
        <w:t>ão extraordinária, realizada em dezembro de 2020, o Plenário do CNJ aprovou por unanimidade uma recomendação aos tribunais (Ato Normativo nº 0010087-44.2020.2.00.0000) para que observem a composição paritária de gênero na formação das comissões organizadoras e das bancas examinadoras nos concursos públicos que realizarem para ingresso na carreira da magistratura, sendo um dos argumentos levantados pela relatora para aprovação da recomendação. A proposta dirige-se aos Tribunais Regionais do Trabalho, Tribunais de Justiça, Tribunais Regionais Federais Tribunais de Justiça Militar dos Estados e ao Superior Tribunal Militar.</w:t>
      </w:r>
      <w:r w:rsidR="00D22383">
        <w:t xml:space="preserve"> </w:t>
      </w:r>
    </w:p>
    <w:p w:rsidR="001F4825" w:rsidRPr="00723D95" w:rsidRDefault="00D22383" w:rsidP="001F482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723D95">
        <w:rPr>
          <w:shd w:val="clear" w:color="auto" w:fill="FFFFFF"/>
        </w:rPr>
        <w:t>O Conselho Nacional do Ministério Público (CNMP) publicou</w:t>
      </w:r>
      <w:r w:rsidR="001F4825" w:rsidRPr="00723D95">
        <w:rPr>
          <w:shd w:val="clear" w:color="auto" w:fill="FFFFFF"/>
        </w:rPr>
        <w:t xml:space="preserve">, também </w:t>
      </w:r>
      <w:r w:rsidR="00723D95" w:rsidRPr="00723D95">
        <w:rPr>
          <w:shd w:val="clear" w:color="auto" w:fill="FFFFFF"/>
        </w:rPr>
        <w:t>no final de</w:t>
      </w:r>
      <w:r w:rsidRPr="00723D95">
        <w:rPr>
          <w:shd w:val="clear" w:color="auto" w:fill="FFFFFF"/>
        </w:rPr>
        <w:t xml:space="preserve"> 2020</w:t>
      </w:r>
      <w:r w:rsidR="001F4825" w:rsidRPr="00723D95">
        <w:rPr>
          <w:shd w:val="clear" w:color="auto" w:fill="FFFFFF"/>
        </w:rPr>
        <w:t>, a</w:t>
      </w:r>
      <w:r w:rsidRPr="00723D95">
        <w:rPr>
          <w:shd w:val="clear" w:color="auto" w:fill="FFFFFF"/>
        </w:rPr>
        <w:t xml:space="preserve"> Recomendação 79/2020 que institui programas e ações sobre igualdade de gênero e raça no âmbito do Ministério Público da União e dos Estados. </w:t>
      </w:r>
    </w:p>
    <w:p w:rsidR="00723D95" w:rsidRDefault="001F4825" w:rsidP="001F482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gmail-il"/>
          <w:bCs/>
          <w:shd w:val="clear" w:color="auto" w:fill="FFFFFF"/>
        </w:rPr>
      </w:pPr>
      <w:r w:rsidRPr="00723D95">
        <w:rPr>
          <w:shd w:val="clear" w:color="auto" w:fill="FFFFFF"/>
        </w:rPr>
        <w:t>Diante desse breve apanhado, p</w:t>
      </w:r>
      <w:r w:rsidR="00D22383" w:rsidRPr="00723D95">
        <w:rPr>
          <w:shd w:val="clear" w:color="auto" w:fill="FFFFFF"/>
        </w:rPr>
        <w:t xml:space="preserve">ercebe-se uma busca </w:t>
      </w:r>
      <w:r w:rsidR="00723D95" w:rsidRPr="00723D95">
        <w:rPr>
          <w:shd w:val="clear" w:color="auto" w:fill="FFFFFF"/>
        </w:rPr>
        <w:t>pela</w:t>
      </w:r>
      <w:r w:rsidR="00D22383" w:rsidRPr="00723D95">
        <w:rPr>
          <w:shd w:val="clear" w:color="auto" w:fill="FFFFFF"/>
        </w:rPr>
        <w:t xml:space="preserve"> igualdade de gênero como meta alinhada entre Advocacia, Magist</w:t>
      </w:r>
      <w:r w:rsidR="00723D95">
        <w:rPr>
          <w:shd w:val="clear" w:color="auto" w:fill="FFFFFF"/>
        </w:rPr>
        <w:t>ratura e Ministério Público. Est</w:t>
      </w:r>
      <w:r w:rsidR="00D22383" w:rsidRPr="00723D95">
        <w:rPr>
          <w:shd w:val="clear" w:color="auto" w:fill="FFFFFF"/>
        </w:rPr>
        <w:t>e é um ponto</w:t>
      </w:r>
      <w:r w:rsidR="00723D95">
        <w:rPr>
          <w:shd w:val="clear" w:color="auto" w:fill="FFFFFF"/>
        </w:rPr>
        <w:t xml:space="preserve"> muitíssimo importante, pois nessa</w:t>
      </w:r>
      <w:r w:rsidR="00D22383" w:rsidRPr="00723D95">
        <w:rPr>
          <w:shd w:val="clear" w:color="auto" w:fill="FFFFFF"/>
        </w:rPr>
        <w:t xml:space="preserve"> mesma</w:t>
      </w:r>
      <w:r w:rsidR="00723D95">
        <w:rPr>
          <w:shd w:val="clear" w:color="auto" w:fill="FFFFFF"/>
        </w:rPr>
        <w:t xml:space="preserve"> linha</w:t>
      </w:r>
      <w:r w:rsidR="00D22383" w:rsidRPr="00723D95">
        <w:rPr>
          <w:shd w:val="clear" w:color="auto" w:fill="FFFFFF"/>
        </w:rPr>
        <w:t xml:space="preserve"> surgem no </w:t>
      </w:r>
      <w:r w:rsidR="00723D95">
        <w:rPr>
          <w:shd w:val="clear" w:color="auto" w:fill="FFFFFF"/>
        </w:rPr>
        <w:t>Brasil</w:t>
      </w:r>
      <w:r w:rsidR="00D22383" w:rsidRPr="00723D95">
        <w:rPr>
          <w:shd w:val="clear" w:color="auto" w:fill="FFFFFF"/>
        </w:rPr>
        <w:t xml:space="preserve"> inúmeros cursos voltados à </w:t>
      </w:r>
      <w:r w:rsidR="00E25893" w:rsidRPr="00723D95">
        <w:rPr>
          <w:rStyle w:val="Forte"/>
          <w:b w:val="0"/>
          <w:shd w:val="clear" w:color="auto" w:fill="FFFFFF"/>
        </w:rPr>
        <w:t>capacitação</w:t>
      </w:r>
      <w:r w:rsidR="00E25893" w:rsidRPr="00723D95">
        <w:rPr>
          <w:shd w:val="clear" w:color="auto" w:fill="FFFFFF"/>
        </w:rPr>
        <w:t xml:space="preserve"> em </w:t>
      </w:r>
      <w:r w:rsidR="00E25893" w:rsidRPr="00E25893">
        <w:rPr>
          <w:color w:val="111111"/>
          <w:shd w:val="clear" w:color="auto" w:fill="FFFFFF"/>
        </w:rPr>
        <w:t>direitos fundamentais com perspectiva de </w:t>
      </w:r>
      <w:r w:rsidR="00E25893" w:rsidRPr="00E25893">
        <w:rPr>
          <w:rStyle w:val="Forte"/>
          <w:b w:val="0"/>
          <w:color w:val="111111"/>
          <w:shd w:val="clear" w:color="auto" w:fill="FFFFFF"/>
        </w:rPr>
        <w:t>gênero</w:t>
      </w:r>
      <w:r w:rsidR="00E25893" w:rsidRPr="00E25893">
        <w:rPr>
          <w:color w:val="111111"/>
          <w:shd w:val="clear" w:color="auto" w:fill="FFFFFF"/>
        </w:rPr>
        <w:t>, seja para advogados, pesquisadores, como também como diretriz apontada pelo CNJ</w:t>
      </w:r>
      <w:r>
        <w:rPr>
          <w:color w:val="111111"/>
          <w:shd w:val="clear" w:color="auto" w:fill="FFFFFF"/>
        </w:rPr>
        <w:t xml:space="preserve"> de acordo </w:t>
      </w:r>
      <w:r>
        <w:rPr>
          <w:color w:val="111111"/>
          <w:shd w:val="clear" w:color="auto" w:fill="FFFFFF"/>
        </w:rPr>
        <w:lastRenderedPageBreak/>
        <w:t xml:space="preserve">com a Recomendação 79, </w:t>
      </w:r>
      <w:r>
        <w:rPr>
          <w:rStyle w:val="gmail-il"/>
          <w:bCs/>
          <w:shd w:val="clear" w:color="auto" w:fill="FFFFFF"/>
        </w:rPr>
        <w:t xml:space="preserve"> aprovada em 08 de outubro de 2020, que determina </w:t>
      </w:r>
      <w:r w:rsidR="00E25893" w:rsidRPr="00E25893">
        <w:rPr>
          <w:rStyle w:val="gmail-il"/>
          <w:bCs/>
          <w:shd w:val="clear" w:color="auto" w:fill="FFFFFF"/>
        </w:rPr>
        <w:t>que os Tribunais de Justiça promovam capacitação em direitos fundamentais</w:t>
      </w:r>
      <w:r>
        <w:rPr>
          <w:rStyle w:val="gmail-il"/>
          <w:bCs/>
          <w:shd w:val="clear" w:color="auto" w:fill="FFFFFF"/>
        </w:rPr>
        <w:t xml:space="preserve"> com perspectiva de gênero</w:t>
      </w:r>
      <w:r w:rsidR="00E25893" w:rsidRPr="00E25893">
        <w:rPr>
          <w:rStyle w:val="gmail-il"/>
          <w:bCs/>
          <w:shd w:val="clear" w:color="auto" w:fill="FFFFFF"/>
        </w:rPr>
        <w:t xml:space="preserve"> a todos os magistrado e magistradas que atuam em juizados ou varas com competência para aplicar a Lei 11</w:t>
      </w:r>
      <w:r w:rsidR="00E25893">
        <w:rPr>
          <w:rStyle w:val="gmail-il"/>
          <w:bCs/>
          <w:shd w:val="clear" w:color="auto" w:fill="FFFFFF"/>
        </w:rPr>
        <w:t>.340/2006, a Lei Maria da Penha.</w:t>
      </w:r>
    </w:p>
    <w:p w:rsidR="00E25893" w:rsidRPr="00F60802" w:rsidRDefault="00E25893" w:rsidP="00E25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decisão segue parâmetros legais nacionais e internacionais, como a Recomendação Geral nº 35 do Comitê para Eliminação de Todas as Formas de Discriminação contra a Mulher (CEDAW), que orienta os Estados Partes a fornecerem capacitação, educação e treinamento obrigatórios, recorrentes e efetivos para membros do Judiciário, para capacitá-los e adequadamente prevenir e enfrentar a violência de gênero contra as mulheres. </w:t>
      </w:r>
      <w:r w:rsidRPr="00F60802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Baseou-se ainda </w:t>
      </w:r>
      <w:r w:rsidRPr="00F60802">
        <w:rPr>
          <w:rFonts w:ascii="Times New Roman" w:hAnsi="Times New Roman" w:cs="Times New Roman"/>
          <w:sz w:val="24"/>
          <w:szCs w:val="24"/>
          <w:shd w:val="clear" w:color="auto" w:fill="FFFFFF"/>
        </w:rPr>
        <w:t>no art. 226, § 8º da CF que preceitua ser dever do Estado criar mecanismos para coibir a violência doméstica; na Resolução CNJ nº 254, de 4 de setembro de 2018, que instituiu a Política Judiciária Nacional de Enfrentamento à Violência contra as Mulheres pelo Poder Judiciário, lastreada no art. 8º, VII, da Lei nº 11.340/2006, estabelece que um dos seus objetivos é fomentar a política de capacitação permanente de magistradas e magistrados em temas relacionados às questões de gênero e de raça ou etnia por meio das escolas de magistratura e judiciais (art. 2º, VI); na  Convenção Interamericana para Prevenir, Punir e Erradicar a Violência contra a Mulher – “Convenção de Belém do Pará”, promulgada pelo Decreto nº 1.973, de 1º de agosto de 1996, determina aos Estados Partes que promovam a educação e treinamento de todo o pessoal judiciário e policial e demais funcionários responsáveis pela aplicação da lei, bem como do pessoal encarregado da implementação de políticas de prevenção, punição e erradicação da violência contra a mulher (art. 8º, “c”), a Convenção também preconiza que os Estados Partes adotem programas destinados a “promover o conhecimento e a observância do direito da mulher a uma vida livre de violência e o direito da mulher a que se respeitem e protejam seus direitos humanos”, bem como “modificar os padrões sociais e culturais de conduta de homens e mulheres, inclusive a formulação de programas formais e não formais adequados a todos os níveis do processo educacional, a fim de combater preconceitos e costumes e todas as outras práticas baseadas na premissa da inferioridade ou superioridade de qualquer dos gêneros ou nos papéis estereotipados para o homem e a mulher, que legitimem ou exacerbem a violência contra a mulher” (art. 8º, “a” e “b”).</w:t>
      </w:r>
    </w:p>
    <w:p w:rsidR="00E25893" w:rsidRDefault="00E25893" w:rsidP="00E25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CNJ na recomendação 79</w:t>
      </w:r>
      <w:r w:rsidRPr="00F60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reconhece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F60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importância de assegurar tratamento adequado aos conflitos decorrentes da prática de violência doméstica e familiar contra a mulher e que, em razão da sensibilidade das questões afetas aos Juizados e Varas que </w:t>
      </w:r>
      <w:r w:rsidRPr="00F608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detenham competência para aplicar a Lei nº 11.340/2006, é desejável que a capacitação alcance todos os juízes e juízas em exercício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atuem nestes Juizados e Varas. </w:t>
      </w:r>
    </w:p>
    <w:p w:rsidR="00C91D2E" w:rsidRPr="007E729C" w:rsidRDefault="00E25893" w:rsidP="007E729C">
      <w:pPr>
        <w:spacing w:after="0" w:line="360" w:lineRule="auto"/>
        <w:ind w:firstLine="708"/>
        <w:jc w:val="both"/>
        <w:rPr>
          <w:rStyle w:val="gmail-il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r w:rsidRPr="00F608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CNJ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alterou a Recomendação 79 pela 82 de 16 de novembro de 2020</w:t>
      </w:r>
      <w:r w:rsidR="007E7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r</w:t>
      </w:r>
      <w:r w:rsidR="007E729C">
        <w:rPr>
          <w:rFonts w:ascii="Times New Roman" w:hAnsi="Times New Roman" w:cs="Times New Roman"/>
          <w:sz w:val="24"/>
          <w:szCs w:val="24"/>
          <w:shd w:val="clear" w:color="auto" w:fill="F8FAFC"/>
        </w:rPr>
        <w:t>ecomendou</w:t>
      </w:r>
      <w:r w:rsidRPr="00E434CA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 aos Tribunais de Justiça que promovam a capacitação em direitos fundamentais, desde uma perspectiva de gênero, dos juízes e juízas que se removerem ou se promoverem para Juizados ou Varas que detenham competência para aplicar a </w:t>
      </w:r>
      <w:hyperlink r:id="rId6" w:tgtFrame="_blank" w:history="1">
        <w:r w:rsidRPr="007E72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AFC"/>
          </w:rPr>
          <w:t>Lei nº 11.340/2006</w:t>
        </w:r>
      </w:hyperlink>
      <w:r w:rsidRPr="00E434CA">
        <w:rPr>
          <w:rFonts w:ascii="Times New Roman" w:hAnsi="Times New Roman" w:cs="Times New Roman"/>
          <w:sz w:val="24"/>
          <w:szCs w:val="24"/>
          <w:shd w:val="clear" w:color="auto" w:fill="F8FAFC"/>
        </w:rPr>
        <w:t>, bem como dos juízes e juízas que atuem em plantões judiciais e audiências de custódi</w:t>
      </w:r>
      <w:r w:rsidR="007E729C">
        <w:rPr>
          <w:rFonts w:ascii="Times New Roman" w:hAnsi="Times New Roman" w:cs="Times New Roman"/>
          <w:sz w:val="24"/>
          <w:szCs w:val="24"/>
          <w:shd w:val="clear" w:color="auto" w:fill="F8FAFC"/>
        </w:rPr>
        <w:t xml:space="preserve">a, no prazo máximo de 120 dias. </w:t>
      </w:r>
      <w:r w:rsidRPr="007E72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Portanto, o CNJ, </w:t>
      </w:r>
      <w:r w:rsidR="007B3D5B" w:rsidRPr="007E72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em </w:t>
      </w:r>
      <w:proofErr w:type="spellStart"/>
      <w:r w:rsidR="003657FB" w:rsidRPr="007E72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recomedação</w:t>
      </w:r>
      <w:proofErr w:type="spellEnd"/>
      <w:r w:rsidR="007B3D5B" w:rsidRPr="007E72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inédita</w:t>
      </w:r>
      <w:r w:rsidRPr="007E72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considerou a necessidade de promover capacitação em direitos fundamentais com uma perspectiva de gênero e isso nos coloca diante de uma certeza: muitas mulheres, inclusive mães, são </w:t>
      </w:r>
      <w:proofErr w:type="spellStart"/>
      <w:r w:rsidRPr="007E72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revitimizadas</w:t>
      </w:r>
      <w:proofErr w:type="spellEnd"/>
      <w:r w:rsidRPr="007E72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pelo Poder Judiciário Brasileiro e é dever de todos nós, defensores dos direitos humanos, lutarmos por mudanças estruturais em um sistema que se alicerçou no machismo, </w:t>
      </w:r>
      <w:proofErr w:type="spellStart"/>
      <w:r w:rsidRPr="007E72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classismo</w:t>
      </w:r>
      <w:proofErr w:type="spellEnd"/>
      <w:r w:rsidRPr="007E72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e racismo. Por isso, a necessidade de novas bibliografias jurídicas que apontem o problema e pensem em solução é premente.  </w:t>
      </w:r>
      <w:r w:rsidR="009A66D4" w:rsidRPr="007E72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Sobre esse tema é importante destacar que nesse atual contexto também enxergamos</w:t>
      </w:r>
      <w:r w:rsidR="00C91D2E" w:rsidRPr="007E729C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uma grande produção científica sobre os temas da advocacia feminista na área </w:t>
      </w:r>
      <w:proofErr w:type="spellStart"/>
      <w:r w:rsidR="00C91D2E" w:rsidRPr="007E729C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familista</w:t>
      </w:r>
      <w:proofErr w:type="spellEnd"/>
      <w:r w:rsidR="00C91D2E" w:rsidRPr="007E729C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 criminal, da maternidade, dos direitos das mulheres como essenciais para modificação dos ementários e das coleções acadêmicas que compõem as bibliotecas jurídicas do país. Uma alteração que será sentida também pelas editoras jurídicas que são conclamadas a publicarem mais mulheres e as convidarem igualitariamente na participação de eventos jurídicos, sem abrir mão dos demais grupos vulnerados nessas composições multifacetadas e de entrecruzamento de saberes que, pela primeira vez, tirarão o foco da </w:t>
      </w:r>
      <w:proofErr w:type="spellStart"/>
      <w:r w:rsidR="00C91D2E" w:rsidRPr="007E729C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hetenormatividade</w:t>
      </w:r>
      <w:proofErr w:type="spellEnd"/>
      <w:r w:rsidR="00C91D2E" w:rsidRPr="007E729C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 da </w:t>
      </w:r>
      <w:proofErr w:type="spellStart"/>
      <w:r w:rsidR="00C91D2E" w:rsidRPr="007E729C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branquitude</w:t>
      </w:r>
      <w:proofErr w:type="spellEnd"/>
      <w:r w:rsidR="00C91D2E" w:rsidRPr="007E729C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 </w:t>
      </w:r>
    </w:p>
    <w:p w:rsidR="00E25893" w:rsidRDefault="00E25893" w:rsidP="00E2589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2"/>
          <w:shd w:val="clear" w:color="auto" w:fill="FFFFFF"/>
        </w:rPr>
      </w:pPr>
      <w:r w:rsidRPr="00451F06">
        <w:rPr>
          <w:spacing w:val="2"/>
          <w:shd w:val="clear" w:color="auto" w:fill="FFFFFF"/>
        </w:rPr>
        <w:t>É importante destacar</w:t>
      </w:r>
      <w:r>
        <w:rPr>
          <w:spacing w:val="2"/>
          <w:shd w:val="clear" w:color="auto" w:fill="FFFFFF"/>
        </w:rPr>
        <w:t xml:space="preserve"> ainda</w:t>
      </w:r>
      <w:r w:rsidRPr="00451F06">
        <w:rPr>
          <w:spacing w:val="2"/>
          <w:shd w:val="clear" w:color="auto" w:fill="FFFFFF"/>
        </w:rPr>
        <w:t xml:space="preserve"> que, de acordo com o entendimento adotado pelo Superior Tribunal de Justiça, a vara especializada em violência doméstica e familiar contra a mulher, além da competência para julgar o agressor criminalmente e determinar a aplicação de medidas protetivas de urgência, possui também competência para julgar ação cível movida pela vítima, desde que tenha como fundamento a violência doméstica familiar sofrida, como por exemplo separação judicial, divórcio, reconhecimento e dissolução de união estável, alimentos, guarda dos filhos, </w:t>
      </w:r>
      <w:r>
        <w:rPr>
          <w:spacing w:val="2"/>
          <w:shd w:val="clear" w:color="auto" w:fill="FFFFFF"/>
        </w:rPr>
        <w:t xml:space="preserve"> dano</w:t>
      </w:r>
      <w:r w:rsidRPr="00451F06">
        <w:rPr>
          <w:spacing w:val="2"/>
          <w:shd w:val="clear" w:color="auto" w:fill="FFFFFF"/>
        </w:rPr>
        <w:t xml:space="preserve"> pa</w:t>
      </w:r>
      <w:r w:rsidR="00B13D40">
        <w:rPr>
          <w:spacing w:val="2"/>
          <w:shd w:val="clear" w:color="auto" w:fill="FFFFFF"/>
        </w:rPr>
        <w:t xml:space="preserve">trimonial contra mães e filhos, portanto possui a competência híbrida. </w:t>
      </w:r>
    </w:p>
    <w:p w:rsidR="00CB7636" w:rsidRDefault="00D93D37" w:rsidP="00065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análise da</w:t>
      </w:r>
      <w:r w:rsidR="00065D0B" w:rsidRPr="00D93D37">
        <w:rPr>
          <w:rFonts w:ascii="Times New Roman" w:hAnsi="Times New Roman" w:cs="Times New Roman"/>
          <w:sz w:val="24"/>
          <w:szCs w:val="24"/>
        </w:rPr>
        <w:t xml:space="preserve"> conjuntura da violência letal no Brasil, em divulgação do IPEA</w:t>
      </w:r>
      <w:r w:rsidRPr="00D93D37">
        <w:rPr>
          <w:rFonts w:ascii="Times New Roman" w:hAnsi="Times New Roman" w:cs="Times New Roman"/>
          <w:sz w:val="24"/>
          <w:szCs w:val="24"/>
        </w:rPr>
        <w:t xml:space="preserve"> no Atlas da violência 2020</w:t>
      </w:r>
      <w:r w:rsidR="00065D0B" w:rsidRPr="00D93D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temos que em 2018 uma mulher foi assassinada a cada duas horas, totalizando </w:t>
      </w:r>
      <w:r w:rsidRPr="00D93D37">
        <w:rPr>
          <w:rFonts w:ascii="Times New Roman" w:hAnsi="Times New Roman" w:cs="Times New Roman"/>
          <w:sz w:val="24"/>
          <w:szCs w:val="24"/>
        </w:rPr>
        <w:t xml:space="preserve">4.519 mulheres </w:t>
      </w:r>
      <w:r>
        <w:rPr>
          <w:rFonts w:ascii="Times New Roman" w:hAnsi="Times New Roman" w:cs="Times New Roman"/>
          <w:sz w:val="24"/>
          <w:szCs w:val="24"/>
        </w:rPr>
        <w:t>vítimas</w:t>
      </w:r>
      <w:r w:rsidRPr="00D93D37">
        <w:rPr>
          <w:rFonts w:ascii="Times New Roman" w:hAnsi="Times New Roman" w:cs="Times New Roman"/>
          <w:sz w:val="24"/>
          <w:szCs w:val="24"/>
        </w:rPr>
        <w:t xml:space="preserve">, o que representa uma taxa de 4,3 homicídios </w:t>
      </w:r>
      <w:r w:rsidRPr="00D93D37">
        <w:rPr>
          <w:rFonts w:ascii="Times New Roman" w:hAnsi="Times New Roman" w:cs="Times New Roman"/>
          <w:sz w:val="24"/>
          <w:szCs w:val="24"/>
        </w:rPr>
        <w:lastRenderedPageBreak/>
        <w:t>para cada 100 mil habitantes do sexo feminino.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D37">
        <w:rPr>
          <w:rFonts w:ascii="Times New Roman" w:hAnsi="Times New Roman" w:cs="Times New Roman"/>
          <w:sz w:val="24"/>
          <w:szCs w:val="24"/>
        </w:rPr>
        <w:t xml:space="preserve">Entre 2008 e 2018, o Brasil teve um aumento de 4,2% nos assassinatos de mulheres. Em alguns estados, a taxa de homicídios em 2018 mais do que dobrou em relação a 2008: é o caso do Ceará, cujos homicídios de mulheres aumentaram 278,6%; de Roraima, que teve um crescimento de 186,8%; e do Acre, onde o aumento foi de 126,6%.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D37">
        <w:rPr>
          <w:rFonts w:ascii="Times New Roman" w:hAnsi="Times New Roman" w:cs="Times New Roman"/>
          <w:sz w:val="24"/>
          <w:szCs w:val="24"/>
        </w:rPr>
        <w:t xml:space="preserve">Em 2018, 68% das mulheres assassinadas no Brasil eram negras. Enquanto entre as mulheres não negras a taxa de mortalidade por homicídios no último ano foi de 2,8 por 100 mil, entre as negras a taxa chegou a 5,2 por 100 mil, praticamente o dobro. </w:t>
      </w:r>
    </w:p>
    <w:p w:rsidR="00D93D37" w:rsidRDefault="00D93D37" w:rsidP="00065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D37">
        <w:rPr>
          <w:rFonts w:ascii="Times New Roman" w:hAnsi="Times New Roman" w:cs="Times New Roman"/>
          <w:sz w:val="24"/>
          <w:szCs w:val="24"/>
        </w:rPr>
        <w:t>A diferença fica ainda mais explícita em estados</w:t>
      </w:r>
      <w:r>
        <w:rPr>
          <w:rFonts w:ascii="Times New Roman" w:hAnsi="Times New Roman" w:cs="Times New Roman"/>
          <w:sz w:val="24"/>
          <w:szCs w:val="24"/>
        </w:rPr>
        <w:t xml:space="preserve"> nordestinos</w:t>
      </w:r>
      <w:r w:rsidRPr="00D93D37">
        <w:rPr>
          <w:rFonts w:ascii="Times New Roman" w:hAnsi="Times New Roman" w:cs="Times New Roman"/>
          <w:sz w:val="24"/>
          <w:szCs w:val="24"/>
        </w:rPr>
        <w:t xml:space="preserve"> como Ceará, Rio Grande do Norte e Paraíba, onde as taxas de homicídios de mulheres negras foram quase quatro vezes maiores do que aquelas de mulheres não negras. Em Alagoas, estado com a maior diferença entre negras e não negras, os homicídios foram quase sete vezes maiores entre as mulheres negras.</w:t>
      </w:r>
      <w:r>
        <w:rPr>
          <w:rFonts w:ascii="Times New Roman" w:hAnsi="Times New Roman" w:cs="Times New Roman"/>
          <w:sz w:val="24"/>
          <w:szCs w:val="24"/>
        </w:rPr>
        <w:t xml:space="preserve"> É preciso investigar em quais contextos essas mortes ocorrem</w:t>
      </w:r>
      <w:r w:rsidR="00F22296">
        <w:rPr>
          <w:rFonts w:ascii="Times New Roman" w:hAnsi="Times New Roman" w:cs="Times New Roman"/>
          <w:sz w:val="24"/>
          <w:szCs w:val="24"/>
        </w:rPr>
        <w:t xml:space="preserve"> nesses estados nordestinos, identificando em quais áreas há necessidade de mais enfrentamento dessas violências. Descobrir, com dados oficiais, se essa violência está localizada mais no sertão ou no litoral, o perfil dos agressores, se as vítimas deram entrada na rede de enfrentamento à violência de gênero, se onde ocorreu o crime há delegacias</w:t>
      </w:r>
      <w:r w:rsidR="00CA266E">
        <w:rPr>
          <w:rFonts w:ascii="Times New Roman" w:hAnsi="Times New Roman" w:cs="Times New Roman"/>
          <w:sz w:val="24"/>
          <w:szCs w:val="24"/>
        </w:rPr>
        <w:t xml:space="preserve"> da mulher </w:t>
      </w:r>
      <w:r w:rsidR="00F22296">
        <w:rPr>
          <w:rFonts w:ascii="Times New Roman" w:hAnsi="Times New Roman" w:cs="Times New Roman"/>
          <w:sz w:val="24"/>
          <w:szCs w:val="24"/>
        </w:rPr>
        <w:t xml:space="preserve">e também fazer um trabalho de assistência social local </w:t>
      </w:r>
      <w:r w:rsidR="00CA266E">
        <w:rPr>
          <w:rFonts w:ascii="Times New Roman" w:hAnsi="Times New Roman" w:cs="Times New Roman"/>
          <w:sz w:val="24"/>
          <w:szCs w:val="24"/>
        </w:rPr>
        <w:t xml:space="preserve">naquela comunidade afetada. </w:t>
      </w:r>
    </w:p>
    <w:p w:rsidR="00065D0B" w:rsidRDefault="00065D0B" w:rsidP="00D93D3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741B">
        <w:t>Uma</w:t>
      </w:r>
      <w:r w:rsidR="00D93D37">
        <w:t xml:space="preserve"> das grandes dificuldades para compreender com mais clareza sobre </w:t>
      </w:r>
      <w:r w:rsidRPr="00FA741B">
        <w:t>os crimes de </w:t>
      </w:r>
      <w:hyperlink r:id="rId7" w:tooltip="Gênero" w:history="1">
        <w:r w:rsidRPr="0051302A">
          <w:t>gênero</w:t>
        </w:r>
      </w:hyperlink>
      <w:r w:rsidRPr="00FA741B">
        <w:t xml:space="preserve"> é a falta de dados oficiais </w:t>
      </w:r>
      <w:r w:rsidR="00D93D37">
        <w:t xml:space="preserve">integrados e sistematizados sobre a </w:t>
      </w:r>
      <w:proofErr w:type="spellStart"/>
      <w:r w:rsidR="00D93D37">
        <w:t>judicialização</w:t>
      </w:r>
      <w:proofErr w:type="spellEnd"/>
      <w:r w:rsidR="00D93D37">
        <w:t xml:space="preserve"> até a criminalização (ou não) dos casos.  As D</w:t>
      </w:r>
      <w:r>
        <w:t>iretrizes</w:t>
      </w:r>
      <w:r w:rsidR="00D93D37">
        <w:t xml:space="preserve"> Nacionais de combate ao </w:t>
      </w:r>
      <w:proofErr w:type="spellStart"/>
      <w:r w:rsidR="00D93D37">
        <w:t>feminicídio</w:t>
      </w:r>
      <w:proofErr w:type="spellEnd"/>
      <w:r w:rsidR="00D93D37">
        <w:t xml:space="preserve"> trazem orientações</w:t>
      </w:r>
      <w:r>
        <w:t xml:space="preserve"> para investigação, processamento e julgame</w:t>
      </w:r>
      <w:r w:rsidR="00D93D37">
        <w:t>nto, com perspectiva de gênero d</w:t>
      </w:r>
      <w:r>
        <w:t>as mortes violentas de mulheres</w:t>
      </w:r>
      <w:r w:rsidR="00D93D37">
        <w:t xml:space="preserve"> e </w:t>
      </w:r>
      <w:r>
        <w:t>foram criadas</w:t>
      </w:r>
      <w:r w:rsidR="007E729C">
        <w:t xml:space="preserve"> </w:t>
      </w:r>
      <w:r>
        <w:t xml:space="preserve">pela Secretaria Especial de Políticas para Mulheres (SPM) da Presidência da República no ano de 2016. </w:t>
      </w:r>
    </w:p>
    <w:p w:rsidR="00065D0B" w:rsidRPr="00A00665" w:rsidRDefault="00065D0B" w:rsidP="007E72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Diretrizes </w:t>
      </w:r>
      <w:r w:rsidRPr="003F191E">
        <w:rPr>
          <w:rFonts w:ascii="Times New Roman" w:hAnsi="Times New Roman"/>
          <w:sz w:val="24"/>
          <w:szCs w:val="24"/>
        </w:rPr>
        <w:t>visam colaborar para o aprimoramento da investigação policial, do processo judicial e do julgamento das mortes violentas de mulheres de modo a evidenciar as razões de gênero como causas dessas mortes. O objetivo é reconhecer que, em contextos e circunstâncias particulares, as desigualdades de poder estruturantes das relações de gênero contribuem para aumentar a vulnerabilidade e o risco que resultam nessas mortes e, a partir disso, aprimorar a resposta do Estado, em conformidade com as obrigações nacionais e internacionais assumidas pelo governo brasileiro.</w:t>
      </w:r>
      <w:r>
        <w:rPr>
          <w:rFonts w:ascii="Times New Roman" w:hAnsi="Times New Roman"/>
          <w:sz w:val="24"/>
          <w:szCs w:val="24"/>
        </w:rPr>
        <w:tab/>
      </w:r>
    </w:p>
    <w:p w:rsidR="00065D0B" w:rsidRDefault="00065D0B" w:rsidP="00065D0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Além de tratar sobre os direitos das vítimas, as Diretrizes emitem recomendações acerca da i</w:t>
      </w:r>
      <w:r w:rsidRPr="00166E78">
        <w:rPr>
          <w:rFonts w:ascii="Times New Roman" w:hAnsi="Times New Roman"/>
          <w:sz w:val="24"/>
          <w:szCs w:val="24"/>
        </w:rPr>
        <w:t>nvestigação criminal</w:t>
      </w:r>
      <w:r>
        <w:rPr>
          <w:rFonts w:ascii="Times New Roman" w:hAnsi="Times New Roman"/>
          <w:sz w:val="24"/>
          <w:szCs w:val="24"/>
        </w:rPr>
        <w:t>, a</w:t>
      </w:r>
      <w:r w:rsidRPr="00166E78">
        <w:rPr>
          <w:rFonts w:ascii="Times New Roman" w:hAnsi="Times New Roman"/>
          <w:sz w:val="24"/>
          <w:szCs w:val="24"/>
        </w:rPr>
        <w:t xml:space="preserve"> atuação da perícia criminal</w:t>
      </w:r>
      <w:r>
        <w:rPr>
          <w:rFonts w:ascii="Times New Roman" w:hAnsi="Times New Roman"/>
          <w:sz w:val="24"/>
          <w:szCs w:val="24"/>
        </w:rPr>
        <w:t xml:space="preserve">, do Ministério Público e do </w:t>
      </w:r>
      <w:r>
        <w:rPr>
          <w:rFonts w:ascii="Times New Roman" w:hAnsi="Times New Roman"/>
          <w:sz w:val="24"/>
          <w:szCs w:val="24"/>
        </w:rPr>
        <w:lastRenderedPageBreak/>
        <w:t xml:space="preserve">Poder Judiciário que devem ser conduzidas </w:t>
      </w:r>
      <w:r w:rsidRPr="00166E78">
        <w:rPr>
          <w:rFonts w:ascii="Times New Roman" w:hAnsi="Times New Roman"/>
          <w:sz w:val="24"/>
          <w:szCs w:val="24"/>
        </w:rPr>
        <w:t>com perspectiva de gênero nas mortes violentas de mulheres</w:t>
      </w:r>
      <w:r>
        <w:rPr>
          <w:rFonts w:ascii="Times New Roman" w:hAnsi="Times New Roman"/>
          <w:sz w:val="24"/>
          <w:szCs w:val="24"/>
        </w:rPr>
        <w:t xml:space="preserve"> e também sobre a atuação da Defensoria Pública, onde há a possibilidade de atuação desta instituição como assistente de acusação nos casos levados ao Tribunal do Júri. </w:t>
      </w:r>
      <w:r w:rsidR="007E729C">
        <w:rPr>
          <w:rFonts w:ascii="Times New Roman" w:hAnsi="Times New Roman"/>
          <w:sz w:val="24"/>
          <w:szCs w:val="24"/>
        </w:rPr>
        <w:t>Precisamos de informações sobre as práticas</w:t>
      </w:r>
      <w:r>
        <w:rPr>
          <w:rFonts w:ascii="Times New Roman" w:hAnsi="Times New Roman"/>
          <w:sz w:val="24"/>
          <w:szCs w:val="24"/>
        </w:rPr>
        <w:t xml:space="preserve"> dos operadores jurídicos envolvidos nos processos criminais do Tribunal do Júri</w:t>
      </w:r>
      <w:r w:rsidR="007E729C">
        <w:rPr>
          <w:rFonts w:ascii="Times New Roman" w:hAnsi="Times New Roman"/>
          <w:sz w:val="24"/>
          <w:szCs w:val="24"/>
        </w:rPr>
        <w:t xml:space="preserve"> que versam </w:t>
      </w:r>
      <w:r>
        <w:rPr>
          <w:rFonts w:ascii="Times New Roman" w:hAnsi="Times New Roman"/>
          <w:sz w:val="24"/>
          <w:szCs w:val="24"/>
        </w:rPr>
        <w:t xml:space="preserve">sobre </w:t>
      </w:r>
      <w:proofErr w:type="spellStart"/>
      <w:r>
        <w:rPr>
          <w:rFonts w:ascii="Times New Roman" w:hAnsi="Times New Roman"/>
          <w:sz w:val="24"/>
          <w:szCs w:val="24"/>
        </w:rPr>
        <w:t>feminicídio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E729C">
        <w:rPr>
          <w:rFonts w:ascii="Times New Roman" w:hAnsi="Times New Roman"/>
          <w:sz w:val="24"/>
          <w:szCs w:val="24"/>
        </w:rPr>
        <w:t>para identificar se são as</w:t>
      </w:r>
      <w:r>
        <w:rPr>
          <w:rFonts w:ascii="Times New Roman" w:hAnsi="Times New Roman"/>
          <w:sz w:val="24"/>
          <w:szCs w:val="24"/>
        </w:rPr>
        <w:t xml:space="preserve"> recomendadas pelas Dire</w:t>
      </w:r>
      <w:r w:rsidR="00870F1F">
        <w:rPr>
          <w:rFonts w:ascii="Times New Roman" w:hAnsi="Times New Roman"/>
          <w:sz w:val="24"/>
          <w:szCs w:val="24"/>
        </w:rPr>
        <w:t>trizes Nacionais</w:t>
      </w:r>
      <w:r w:rsidR="007E729C">
        <w:rPr>
          <w:rFonts w:ascii="Times New Roman" w:hAnsi="Times New Roman"/>
          <w:sz w:val="24"/>
          <w:szCs w:val="24"/>
        </w:rPr>
        <w:t>, consequentemente poderemos c</w:t>
      </w:r>
      <w:r w:rsidRPr="00E860CD">
        <w:rPr>
          <w:rFonts w:ascii="Times New Roman" w:hAnsi="Times New Roman"/>
          <w:sz w:val="24"/>
          <w:szCs w:val="24"/>
        </w:rPr>
        <w:t xml:space="preserve">omprovar a hipótese de que há (ou não) capacitação técnica na </w:t>
      </w:r>
      <w:r w:rsidRPr="009762CC">
        <w:rPr>
          <w:rFonts w:ascii="Times New Roman" w:hAnsi="Times New Roman"/>
          <w:b/>
          <w:bCs/>
          <w:sz w:val="24"/>
          <w:szCs w:val="24"/>
        </w:rPr>
        <w:t xml:space="preserve">investigação, processamento e julgamento </w:t>
      </w:r>
      <w:r w:rsidRPr="00E860CD">
        <w:rPr>
          <w:rFonts w:ascii="Times New Roman" w:hAnsi="Times New Roman"/>
          <w:sz w:val="24"/>
          <w:szCs w:val="24"/>
        </w:rPr>
        <w:t>com perspectiva de gênero</w:t>
      </w:r>
      <w:r w:rsidR="00FC69DE">
        <w:rPr>
          <w:rFonts w:ascii="Times New Roman" w:hAnsi="Times New Roman"/>
          <w:sz w:val="24"/>
          <w:szCs w:val="24"/>
        </w:rPr>
        <w:t xml:space="preserve"> dos processos </w:t>
      </w:r>
      <w:r>
        <w:rPr>
          <w:rFonts w:ascii="Times New Roman" w:hAnsi="Times New Roman"/>
          <w:sz w:val="24"/>
          <w:szCs w:val="24"/>
        </w:rPr>
        <w:t xml:space="preserve">que foram </w:t>
      </w:r>
      <w:proofErr w:type="spellStart"/>
      <w:r>
        <w:rPr>
          <w:rFonts w:ascii="Times New Roman" w:hAnsi="Times New Roman"/>
          <w:sz w:val="24"/>
          <w:szCs w:val="24"/>
        </w:rPr>
        <w:t>judicializados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729C">
        <w:rPr>
          <w:rFonts w:ascii="Times New Roman" w:hAnsi="Times New Roman"/>
          <w:sz w:val="24"/>
          <w:szCs w:val="24"/>
        </w:rPr>
        <w:t xml:space="preserve">desde </w:t>
      </w:r>
      <w:r>
        <w:rPr>
          <w:rFonts w:ascii="Times New Roman" w:hAnsi="Times New Roman"/>
          <w:sz w:val="24"/>
          <w:szCs w:val="24"/>
        </w:rPr>
        <w:t>2016</w:t>
      </w:r>
      <w:r w:rsidR="007E729C">
        <w:rPr>
          <w:rFonts w:ascii="Times New Roman" w:hAnsi="Times New Roman"/>
          <w:sz w:val="24"/>
          <w:szCs w:val="24"/>
        </w:rPr>
        <w:t xml:space="preserve"> no Brasil e c</w:t>
      </w:r>
      <w:r>
        <w:rPr>
          <w:rFonts w:ascii="Times New Roman" w:hAnsi="Times New Roman"/>
          <w:sz w:val="24"/>
          <w:szCs w:val="24"/>
        </w:rPr>
        <w:t xml:space="preserve">ontribuir para a expansão de informações sobre os que foram </w:t>
      </w:r>
      <w:r w:rsidR="00FC69DE">
        <w:rPr>
          <w:rFonts w:ascii="Times New Roman" w:hAnsi="Times New Roman"/>
          <w:sz w:val="24"/>
          <w:szCs w:val="24"/>
        </w:rPr>
        <w:t>resolvidos</w:t>
      </w:r>
      <w:r>
        <w:rPr>
          <w:rFonts w:ascii="Times New Roman" w:hAnsi="Times New Roman"/>
          <w:sz w:val="24"/>
          <w:szCs w:val="24"/>
        </w:rPr>
        <w:t xml:space="preserve"> pelo Judiciário e que ficam</w:t>
      </w:r>
      <w:r w:rsidR="007E729C">
        <w:rPr>
          <w:rFonts w:ascii="Times New Roman" w:hAnsi="Times New Roman"/>
          <w:sz w:val="24"/>
          <w:szCs w:val="24"/>
        </w:rPr>
        <w:t>, geralmente,</w:t>
      </w:r>
      <w:r>
        <w:rPr>
          <w:rFonts w:ascii="Times New Roman" w:hAnsi="Times New Roman"/>
          <w:sz w:val="24"/>
          <w:szCs w:val="24"/>
        </w:rPr>
        <w:t xml:space="preserve"> adstritos aos dados numéricos do CNJ.</w:t>
      </w:r>
    </w:p>
    <w:p w:rsidR="007E729C" w:rsidRDefault="007E729C" w:rsidP="007E729C">
      <w:pPr>
        <w:spacing w:after="0" w:line="360" w:lineRule="auto"/>
        <w:ind w:firstLine="709"/>
        <w:jc w:val="both"/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Assim, conseguiremos ter dados sobre</w:t>
      </w:r>
      <w:r w:rsidR="00CA26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revitimização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das mulheres</w:t>
      </w:r>
      <w:r w:rsidRPr="00E57F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informações sistematizadas e de fácil acesso sobre como</w:t>
      </w:r>
      <w:r w:rsidRPr="00E57F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os </w:t>
      </w:r>
      <w:r w:rsidRPr="00E57F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homens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E57F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agressores estão sendo responsabilizados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seja nos casos de</w:t>
      </w:r>
      <w:r w:rsidRPr="00E57F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violência doméstica ou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de </w:t>
      </w:r>
      <w:r w:rsidR="000551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mortes violentas de mulheres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No início de 2021</w:t>
      </w:r>
      <w:r w:rsidRPr="00E57F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o TJ-PR em parceria com a UFPR, em projeto coordenado pela Desembargadora Priscila </w:t>
      </w:r>
      <w:proofErr w:type="spellStart"/>
      <w:r w:rsidRPr="00E57F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Plachá</w:t>
      </w:r>
      <w:proofErr w:type="spellEnd"/>
      <w:r w:rsidRPr="00E57F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Sá, publicou um dossiê pioneiro </w:t>
      </w:r>
      <w:r w:rsidRPr="00E57F58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com dados sobre 300 </w:t>
      </w:r>
      <w:proofErr w:type="spellStart"/>
      <w:r w:rsidRPr="00E57F58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feminicídios</w:t>
      </w:r>
      <w:proofErr w:type="spellEnd"/>
      <w:r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que chama</w:t>
      </w:r>
      <w:r w:rsidRPr="00E57F58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atenção</w:t>
      </w:r>
      <w:r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dentre outros questionamentos aos dados ali </w:t>
      </w:r>
      <w:r w:rsidR="00CA266E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trabalhados</w:t>
      </w:r>
      <w:r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, para esse problema social com repercussões econômicas,</w:t>
      </w:r>
      <w:r w:rsidRPr="00E57F58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apontando para a</w:t>
      </w:r>
      <w:r w:rsidRPr="00E57F58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necessidade da responsabilização dos agressores (2021, p.9): "a destinatária final é a mulher em situação de violência, sobretudo, numa perspectiva de </w:t>
      </w:r>
      <w:proofErr w:type="spellStart"/>
      <w:r w:rsidRPr="00E57F58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evitabilidade</w:t>
      </w:r>
      <w:proofErr w:type="spellEnd"/>
      <w:r w:rsidRPr="00E57F58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 fenômeno pela fatalidade que obviamente encerra sobre si, não obstante a responsabilização dos autores do fato criminal, seja igualmente uma preocupação".</w:t>
      </w:r>
      <w:r w:rsidR="00CA266E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Com as informações trazidas pelo dossiê é possível pensar na criação de uma política </w:t>
      </w:r>
      <w:proofErr w:type="gramStart"/>
      <w:r w:rsidR="00CA266E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pública  local</w:t>
      </w:r>
      <w:proofErr w:type="gramEnd"/>
      <w:r w:rsidR="00CA266E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, de forma a se antecipar à morte de tantas vítimas.</w:t>
      </w:r>
    </w:p>
    <w:p w:rsidR="00C31D64" w:rsidRDefault="00D029AA" w:rsidP="00D029AA">
      <w:pPr>
        <w:spacing w:after="0" w:line="360" w:lineRule="auto"/>
        <w:ind w:firstLine="709"/>
        <w:jc w:val="both"/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29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029AA">
        <w:rPr>
          <w:rFonts w:ascii="Times New Roman" w:hAnsi="Times New Roman" w:cs="Times New Roman"/>
          <w:sz w:val="24"/>
          <w:szCs w:val="24"/>
        </w:rPr>
        <w:t>revitimização</w:t>
      </w:r>
      <w:proofErr w:type="spellEnd"/>
      <w:r w:rsidRPr="00D029AA">
        <w:rPr>
          <w:rFonts w:ascii="Times New Roman" w:hAnsi="Times New Roman" w:cs="Times New Roman"/>
          <w:sz w:val="24"/>
          <w:szCs w:val="24"/>
        </w:rPr>
        <w:t xml:space="preserve"> expressa-se como o atendimento negligente, o descrédito na palavra da vítima, o descaso com seu sofrimento físico e/ou mental, o desrespeito à sua privacidade, o constrangimento e a responsabilização da vítima pela violência sofrida. </w:t>
      </w:r>
      <w:r w:rsidR="00CB0479" w:rsidRPr="00D029AA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É tão grave a </w:t>
      </w:r>
      <w:proofErr w:type="spellStart"/>
      <w:r w:rsidR="00CB0479" w:rsidRPr="00D029AA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revitimização</w:t>
      </w:r>
      <w:proofErr w:type="spellEnd"/>
      <w:r w:rsidR="00CB0479" w:rsidRPr="00D029AA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no júri que tese ultrapassada como a d</w:t>
      </w:r>
      <w:r w:rsidR="00C64D15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a legítima defesa da honra voltou</w:t>
      </w:r>
      <w:r w:rsidR="00CB0479" w:rsidRPr="00D029AA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assombrar e, infelizmente, o STF, com base na soberania do </w:t>
      </w:r>
      <w:r w:rsidR="00495C14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veredicto</w:t>
      </w:r>
      <w:r w:rsidR="00CB0479" w:rsidRPr="00D029AA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corroboro</w:t>
      </w:r>
      <w:r w:rsidRPr="00D029AA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u com o machismo estrutural.</w:t>
      </w:r>
    </w:p>
    <w:p w:rsidR="001152C4" w:rsidRDefault="00D029AA" w:rsidP="00D0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AA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defesa em júri precisa </w:t>
      </w:r>
      <w:r w:rsidR="00C31D64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ser coerente e pautada com a</w:t>
      </w:r>
      <w:r w:rsidRPr="00D029AA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 diretrizes de combate ao </w:t>
      </w:r>
      <w:proofErr w:type="spellStart"/>
      <w:r w:rsidRPr="00D029AA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>feminicídio</w:t>
      </w:r>
      <w:proofErr w:type="spellEnd"/>
      <w:r w:rsidRPr="00D029AA">
        <w:rPr>
          <w:rStyle w:val="gmail-i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sendo seus princípios: </w:t>
      </w:r>
      <w:r w:rsidRPr="00D029AA">
        <w:rPr>
          <w:rFonts w:ascii="Times New Roman" w:hAnsi="Times New Roman" w:cs="Times New Roman"/>
          <w:sz w:val="24"/>
          <w:szCs w:val="24"/>
        </w:rPr>
        <w:t xml:space="preserve">o acesso à justiça integral e gratuita e o papel da Defensoria Pública; respeito à dignidade humana, à diferença e à privacidade; </w:t>
      </w:r>
      <w:r w:rsidR="00C31D64">
        <w:rPr>
          <w:rFonts w:ascii="Times New Roman" w:hAnsi="Times New Roman" w:cs="Times New Roman"/>
          <w:sz w:val="24"/>
          <w:szCs w:val="24"/>
        </w:rPr>
        <w:t>a</w:t>
      </w:r>
      <w:r w:rsidRPr="00D029AA">
        <w:rPr>
          <w:rFonts w:ascii="Times New Roman" w:hAnsi="Times New Roman" w:cs="Times New Roman"/>
          <w:sz w:val="24"/>
          <w:szCs w:val="24"/>
        </w:rPr>
        <w:t xml:space="preserve"> </w:t>
      </w:r>
      <w:r w:rsidRPr="00D029AA">
        <w:rPr>
          <w:rFonts w:ascii="Times New Roman" w:hAnsi="Times New Roman" w:cs="Times New Roman"/>
          <w:sz w:val="24"/>
          <w:szCs w:val="24"/>
        </w:rPr>
        <w:lastRenderedPageBreak/>
        <w:t>participação em sentido amplo: informação, assistência, proteção e reparação</w:t>
      </w:r>
      <w:r w:rsidR="001152C4" w:rsidRPr="001152C4">
        <w:rPr>
          <w:rFonts w:ascii="Times New Roman" w:hAnsi="Times New Roman" w:cs="Times New Roman"/>
          <w:sz w:val="24"/>
          <w:szCs w:val="24"/>
        </w:rPr>
        <w:t>; e o direito à justiça, à verdade e à memória</w:t>
      </w:r>
      <w:r w:rsidR="001152C4">
        <w:rPr>
          <w:rFonts w:ascii="Times New Roman" w:hAnsi="Times New Roman" w:cs="Times New Roman"/>
          <w:sz w:val="24"/>
          <w:szCs w:val="24"/>
        </w:rPr>
        <w:t>.</w:t>
      </w:r>
    </w:p>
    <w:p w:rsidR="007E729C" w:rsidRDefault="00D029AA" w:rsidP="00D0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C4">
        <w:rPr>
          <w:rFonts w:ascii="Times New Roman" w:hAnsi="Times New Roman" w:cs="Times New Roman"/>
          <w:sz w:val="24"/>
          <w:szCs w:val="24"/>
        </w:rPr>
        <w:t xml:space="preserve"> </w:t>
      </w:r>
      <w:r w:rsidRPr="00D029AA">
        <w:rPr>
          <w:rFonts w:ascii="Times New Roman" w:hAnsi="Times New Roman" w:cs="Times New Roman"/>
          <w:sz w:val="24"/>
          <w:szCs w:val="24"/>
        </w:rPr>
        <w:t xml:space="preserve">O ordenamento brasileiro prevê mecanismos que viabilizem a reparação dos danos. A vítima sobrevivente ou as vítimas indiretas poderão agir de três formas: 1) aguardar o desfecho da ação penal, e com o trânsito em julgado dessa decisão ingressar no juízo cível; ou 2) ingressar desde logo no juízo cível com a ação de reparação de danos; ou 3) requerer que a reparação seja fixada na sentença penal condenatória. </w:t>
      </w:r>
    </w:p>
    <w:p w:rsidR="00495C14" w:rsidRPr="00D029AA" w:rsidRDefault="001152C4" w:rsidP="00D0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fases da investigação, processamento e julgamento de um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feminicídio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traz</w:t>
      </w:r>
      <w:r w:rsidR="00B3506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em si a dor da injustiça, porque o irremediável já ocorreu. Permit</w:t>
      </w:r>
      <w:r w:rsidR="003D30A2">
        <w:rPr>
          <w:rFonts w:ascii="Times New Roman" w:hAnsi="Times New Roman" w:cs="Times New Roman"/>
          <w:sz w:val="24"/>
          <w:szCs w:val="24"/>
        </w:rPr>
        <w:t>ir que os agressores fiquem impunes, sem responsabilização alguma,</w:t>
      </w:r>
      <w:r>
        <w:rPr>
          <w:rFonts w:ascii="Times New Roman" w:hAnsi="Times New Roman" w:cs="Times New Roman"/>
          <w:sz w:val="24"/>
          <w:szCs w:val="24"/>
        </w:rPr>
        <w:t xml:space="preserve"> é uma narrativa que torna essas histórias mais cruéis </w:t>
      </w:r>
      <w:r w:rsidR="00FE02F7">
        <w:rPr>
          <w:rFonts w:ascii="Times New Roman" w:hAnsi="Times New Roman" w:cs="Times New Roman"/>
          <w:sz w:val="24"/>
          <w:szCs w:val="24"/>
        </w:rPr>
        <w:t xml:space="preserve">ainda e simbolicamente tem efeitos danosos que retroalimentam uma cultura violenta contra as mulheres.  </w:t>
      </w:r>
    </w:p>
    <w:p w:rsidR="00413F9D" w:rsidRPr="00D029AA" w:rsidRDefault="00413F9D">
      <w:pPr>
        <w:rPr>
          <w:rFonts w:ascii="Times New Roman" w:hAnsi="Times New Roman" w:cs="Times New Roman"/>
          <w:sz w:val="24"/>
          <w:szCs w:val="24"/>
        </w:rPr>
      </w:pPr>
    </w:p>
    <w:sectPr w:rsidR="00413F9D" w:rsidRPr="00D02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40" w:rsidRDefault="008C7B40" w:rsidP="00F14557">
      <w:pPr>
        <w:spacing w:after="0" w:line="240" w:lineRule="auto"/>
      </w:pPr>
      <w:r>
        <w:separator/>
      </w:r>
    </w:p>
  </w:endnote>
  <w:endnote w:type="continuationSeparator" w:id="0">
    <w:p w:rsidR="008C7B40" w:rsidRDefault="008C7B40" w:rsidP="00F1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40" w:rsidRDefault="008C7B40" w:rsidP="00F14557">
      <w:pPr>
        <w:spacing w:after="0" w:line="240" w:lineRule="auto"/>
      </w:pPr>
      <w:r>
        <w:separator/>
      </w:r>
    </w:p>
  </w:footnote>
  <w:footnote w:type="continuationSeparator" w:id="0">
    <w:p w:rsidR="008C7B40" w:rsidRDefault="008C7B40" w:rsidP="00F14557">
      <w:pPr>
        <w:spacing w:after="0" w:line="240" w:lineRule="auto"/>
      </w:pPr>
      <w:r>
        <w:continuationSeparator/>
      </w:r>
    </w:p>
  </w:footnote>
  <w:footnote w:id="1">
    <w:p w:rsidR="00F14557" w:rsidRPr="001056FC" w:rsidRDefault="00F14557" w:rsidP="007F4D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7F4D59">
        <w:rPr>
          <w:rFonts w:ascii="Times New Roman" w:hAnsi="Times New Roman" w:cs="Times New Roman"/>
          <w:sz w:val="20"/>
          <w:szCs w:val="20"/>
        </w:rPr>
        <w:t xml:space="preserve">Professora. Advogada. Mestra em Direito Público UFBA. Especialista em Direito Público. Historiadora. Organizadora da coleção </w:t>
      </w:r>
      <w:r w:rsidR="007F4D59">
        <w:rPr>
          <w:rFonts w:ascii="Times New Roman" w:hAnsi="Times New Roman" w:cs="Times New Roman"/>
          <w:sz w:val="20"/>
          <w:szCs w:val="20"/>
        </w:rPr>
        <w:t>“</w:t>
      </w:r>
      <w:r w:rsidRPr="007F4D59">
        <w:rPr>
          <w:rFonts w:ascii="Times New Roman" w:hAnsi="Times New Roman" w:cs="Times New Roman"/>
          <w:sz w:val="20"/>
          <w:szCs w:val="20"/>
        </w:rPr>
        <w:t>Direito</w:t>
      </w:r>
      <w:r w:rsidR="0096753C">
        <w:rPr>
          <w:rFonts w:ascii="Times New Roman" w:hAnsi="Times New Roman" w:cs="Times New Roman"/>
          <w:sz w:val="20"/>
          <w:szCs w:val="20"/>
        </w:rPr>
        <w:t>s</w:t>
      </w:r>
      <w:r w:rsidRPr="007F4D59">
        <w:rPr>
          <w:rFonts w:ascii="Times New Roman" w:hAnsi="Times New Roman" w:cs="Times New Roman"/>
          <w:sz w:val="20"/>
          <w:szCs w:val="20"/>
        </w:rPr>
        <w:t xml:space="preserve"> das Mul</w:t>
      </w:r>
      <w:r w:rsidR="007F4D59" w:rsidRPr="007F4D59">
        <w:rPr>
          <w:rFonts w:ascii="Times New Roman" w:hAnsi="Times New Roman" w:cs="Times New Roman"/>
          <w:sz w:val="20"/>
          <w:szCs w:val="20"/>
        </w:rPr>
        <w:t>heres</w:t>
      </w:r>
      <w:r w:rsidR="007F4D59">
        <w:rPr>
          <w:rFonts w:ascii="Times New Roman" w:hAnsi="Times New Roman" w:cs="Times New Roman"/>
          <w:sz w:val="20"/>
          <w:szCs w:val="20"/>
        </w:rPr>
        <w:t>”</w:t>
      </w:r>
      <w:r w:rsidR="007F4D59" w:rsidRPr="007F4D59">
        <w:rPr>
          <w:rFonts w:ascii="Times New Roman" w:hAnsi="Times New Roman" w:cs="Times New Roman"/>
          <w:sz w:val="20"/>
          <w:szCs w:val="20"/>
        </w:rPr>
        <w:t xml:space="preserve"> que conta com </w:t>
      </w:r>
      <w:r w:rsidR="00D42400">
        <w:rPr>
          <w:rFonts w:ascii="Times New Roman" w:hAnsi="Times New Roman" w:cs="Times New Roman"/>
          <w:sz w:val="20"/>
          <w:szCs w:val="20"/>
        </w:rPr>
        <w:t>6</w:t>
      </w:r>
      <w:r w:rsidR="007F4D59" w:rsidRPr="007F4D59">
        <w:rPr>
          <w:rFonts w:ascii="Times New Roman" w:hAnsi="Times New Roman" w:cs="Times New Roman"/>
          <w:sz w:val="20"/>
          <w:szCs w:val="20"/>
        </w:rPr>
        <w:t xml:space="preserve"> títulos: F</w:t>
      </w:r>
      <w:r w:rsidRPr="00F14557">
        <w:rPr>
          <w:rFonts w:ascii="Times New Roman" w:eastAsia="Times New Roman" w:hAnsi="Times New Roman" w:cs="Times New Roman"/>
          <w:sz w:val="20"/>
          <w:szCs w:val="20"/>
          <w:lang w:eastAsia="pt-BR"/>
        </w:rPr>
        <w:t>eminismos, Artes e Direitos das Humanas;</w:t>
      </w:r>
      <w:r w:rsidR="007F4D59" w:rsidRPr="007F4D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14557">
        <w:rPr>
          <w:rFonts w:ascii="Times New Roman" w:eastAsia="Times New Roman" w:hAnsi="Times New Roman" w:cs="Times New Roman"/>
          <w:sz w:val="20"/>
          <w:szCs w:val="20"/>
          <w:lang w:eastAsia="pt-BR"/>
        </w:rPr>
        <w:t>Por uma estética artística feminista do Direito;</w:t>
      </w:r>
      <w:r w:rsidR="007F4D59" w:rsidRPr="007F4D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14557">
        <w:rPr>
          <w:rFonts w:ascii="Times New Roman" w:eastAsia="Times New Roman" w:hAnsi="Times New Roman" w:cs="Times New Roman"/>
          <w:sz w:val="20"/>
          <w:szCs w:val="20"/>
          <w:lang w:eastAsia="pt-BR"/>
        </w:rPr>
        <w:t>Maternidade e Direito; </w:t>
      </w:r>
      <w:r w:rsidR="007F4D59" w:rsidRPr="00F14557">
        <w:rPr>
          <w:rFonts w:ascii="Times New Roman" w:eastAsia="Times New Roman" w:hAnsi="Times New Roman" w:cs="Times New Roman"/>
          <w:sz w:val="20"/>
          <w:szCs w:val="20"/>
          <w:lang w:eastAsia="pt-BR"/>
        </w:rPr>
        <w:t>Advocacia Criminal Feminista</w:t>
      </w:r>
      <w:r w:rsidR="007F4D59" w:rsidRPr="007F4D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publicados </w:t>
      </w:r>
      <w:r w:rsidR="00D4240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pela Editora </w:t>
      </w:r>
      <w:proofErr w:type="spellStart"/>
      <w:r w:rsidR="00D42400">
        <w:rPr>
          <w:rFonts w:ascii="Times New Roman" w:eastAsia="Times New Roman" w:hAnsi="Times New Roman" w:cs="Times New Roman"/>
          <w:sz w:val="20"/>
          <w:szCs w:val="20"/>
          <w:lang w:eastAsia="pt-BR"/>
        </w:rPr>
        <w:t>Tirant</w:t>
      </w:r>
      <w:proofErr w:type="spellEnd"/>
      <w:r w:rsidR="00D4240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="00D42400">
        <w:rPr>
          <w:rFonts w:ascii="Times New Roman" w:eastAsia="Times New Roman" w:hAnsi="Times New Roman" w:cs="Times New Roman"/>
          <w:sz w:val="20"/>
          <w:szCs w:val="20"/>
          <w:lang w:eastAsia="pt-BR"/>
        </w:rPr>
        <w:t>lo</w:t>
      </w:r>
      <w:proofErr w:type="spellEnd"/>
      <w:r w:rsidR="00D4240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="00D42400">
        <w:rPr>
          <w:rFonts w:ascii="Times New Roman" w:eastAsia="Times New Roman" w:hAnsi="Times New Roman" w:cs="Times New Roman"/>
          <w:sz w:val="20"/>
          <w:szCs w:val="20"/>
          <w:lang w:eastAsia="pt-BR"/>
        </w:rPr>
        <w:t>Blanch</w:t>
      </w:r>
      <w:proofErr w:type="spellEnd"/>
      <w:r w:rsidR="00D4240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F1455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Maternidade no Direito </w:t>
      </w:r>
      <w:r w:rsidR="007F4D59" w:rsidRPr="007F4D59">
        <w:rPr>
          <w:rFonts w:ascii="Times New Roman" w:eastAsia="Times New Roman" w:hAnsi="Times New Roman" w:cs="Times New Roman"/>
          <w:sz w:val="20"/>
          <w:szCs w:val="20"/>
          <w:lang w:eastAsia="pt-BR"/>
        </w:rPr>
        <w:t>B</w:t>
      </w:r>
      <w:r w:rsidR="00D4240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rasileiro: padecer no machismo e Direitos Fundamentais das Mulheres no período pandêmico, </w:t>
      </w:r>
      <w:r w:rsidR="007F4D59" w:rsidRPr="007F4D59">
        <w:rPr>
          <w:rFonts w:ascii="Times New Roman" w:eastAsia="Times New Roman" w:hAnsi="Times New Roman" w:cs="Times New Roman"/>
          <w:sz w:val="20"/>
          <w:szCs w:val="20"/>
          <w:lang w:eastAsia="pt-BR"/>
        </w:rPr>
        <w:t>publicado</w:t>
      </w:r>
      <w:r w:rsidR="00D42400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7F4D59" w:rsidRPr="007F4D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pela Editora Studio Sala de Aula</w:t>
      </w:r>
      <w:r w:rsidR="007F4D5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Pr="00E25893">
        <w:rPr>
          <w:rFonts w:ascii="Times New Roman" w:hAnsi="Times New Roman" w:cs="Times New Roman"/>
          <w:sz w:val="20"/>
          <w:szCs w:val="20"/>
        </w:rPr>
        <w:t>E-mail:ezildamelo@gmail.com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57"/>
    <w:rsid w:val="00044070"/>
    <w:rsid w:val="00046DDC"/>
    <w:rsid w:val="000551FD"/>
    <w:rsid w:val="00065D0B"/>
    <w:rsid w:val="00101A5B"/>
    <w:rsid w:val="001152C4"/>
    <w:rsid w:val="00193A4D"/>
    <w:rsid w:val="001957E4"/>
    <w:rsid w:val="001D7AA2"/>
    <w:rsid w:val="001F4825"/>
    <w:rsid w:val="00211DC1"/>
    <w:rsid w:val="002F641A"/>
    <w:rsid w:val="002F7031"/>
    <w:rsid w:val="003052DD"/>
    <w:rsid w:val="00324A55"/>
    <w:rsid w:val="00365793"/>
    <w:rsid w:val="003657FB"/>
    <w:rsid w:val="003D30A2"/>
    <w:rsid w:val="00413F9D"/>
    <w:rsid w:val="00491279"/>
    <w:rsid w:val="00495C14"/>
    <w:rsid w:val="004D2148"/>
    <w:rsid w:val="00501428"/>
    <w:rsid w:val="00504008"/>
    <w:rsid w:val="00561A43"/>
    <w:rsid w:val="005A5439"/>
    <w:rsid w:val="005A617F"/>
    <w:rsid w:val="005A73CB"/>
    <w:rsid w:val="005C4B0D"/>
    <w:rsid w:val="005D45BD"/>
    <w:rsid w:val="006476D8"/>
    <w:rsid w:val="00656BB6"/>
    <w:rsid w:val="006B34A4"/>
    <w:rsid w:val="00723D95"/>
    <w:rsid w:val="007B3D5B"/>
    <w:rsid w:val="007E729C"/>
    <w:rsid w:val="007F4D59"/>
    <w:rsid w:val="00870F1F"/>
    <w:rsid w:val="008C7B40"/>
    <w:rsid w:val="009021EF"/>
    <w:rsid w:val="00926449"/>
    <w:rsid w:val="00934DDB"/>
    <w:rsid w:val="0096753C"/>
    <w:rsid w:val="00990C7D"/>
    <w:rsid w:val="009A66D4"/>
    <w:rsid w:val="00AB3793"/>
    <w:rsid w:val="00AC3920"/>
    <w:rsid w:val="00B13D40"/>
    <w:rsid w:val="00B3506B"/>
    <w:rsid w:val="00BC24E8"/>
    <w:rsid w:val="00C31D64"/>
    <w:rsid w:val="00C64D15"/>
    <w:rsid w:val="00C91D2E"/>
    <w:rsid w:val="00CA266E"/>
    <w:rsid w:val="00CB0479"/>
    <w:rsid w:val="00CB7636"/>
    <w:rsid w:val="00CD3C2F"/>
    <w:rsid w:val="00CE1C76"/>
    <w:rsid w:val="00D029AA"/>
    <w:rsid w:val="00D22383"/>
    <w:rsid w:val="00D42400"/>
    <w:rsid w:val="00D445E5"/>
    <w:rsid w:val="00D47252"/>
    <w:rsid w:val="00D93D37"/>
    <w:rsid w:val="00DB468B"/>
    <w:rsid w:val="00E25893"/>
    <w:rsid w:val="00E37D14"/>
    <w:rsid w:val="00E5211B"/>
    <w:rsid w:val="00E57F58"/>
    <w:rsid w:val="00E969CF"/>
    <w:rsid w:val="00EA6936"/>
    <w:rsid w:val="00EC2A65"/>
    <w:rsid w:val="00EE7DAD"/>
    <w:rsid w:val="00F14557"/>
    <w:rsid w:val="00F22296"/>
    <w:rsid w:val="00FC69DE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C94A-1500-4FE7-B540-3B3CFD9A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57"/>
  </w:style>
  <w:style w:type="paragraph" w:styleId="Ttulo1">
    <w:name w:val="heading 1"/>
    <w:basedOn w:val="Normal"/>
    <w:next w:val="Normal"/>
    <w:link w:val="Ttulo1Char"/>
    <w:uiPriority w:val="9"/>
    <w:qFormat/>
    <w:rsid w:val="00065D0B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F14557"/>
    <w:rPr>
      <w:color w:val="0000FF"/>
      <w:u w:val="single"/>
    </w:rPr>
  </w:style>
  <w:style w:type="character" w:customStyle="1" w:styleId="gmail-il">
    <w:name w:val="gmail-il"/>
    <w:basedOn w:val="Fontepargpadro"/>
    <w:rsid w:val="00F14557"/>
  </w:style>
  <w:style w:type="paragraph" w:styleId="Textodenotaderodap">
    <w:name w:val="footnote text"/>
    <w:aliases w:val="Footnote Text Char,Char,Texto de rodapÈ, Char"/>
    <w:basedOn w:val="Normal"/>
    <w:link w:val="TextodenotaderodapChar"/>
    <w:uiPriority w:val="99"/>
    <w:unhideWhenUsed/>
    <w:rsid w:val="00F145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Footnote Text Char Char,Char Char,Texto de rodapÈ Char, Char Char"/>
    <w:basedOn w:val="Fontepargpadro"/>
    <w:link w:val="Textodenotaderodap"/>
    <w:uiPriority w:val="99"/>
    <w:rsid w:val="00F14557"/>
    <w:rPr>
      <w:sz w:val="20"/>
      <w:szCs w:val="20"/>
    </w:rPr>
  </w:style>
  <w:style w:type="character" w:styleId="Refdenotaderodap">
    <w:name w:val="footnote reference"/>
    <w:aliases w:val="ReferÍncia de rodapÈ"/>
    <w:basedOn w:val="Fontepargpadro"/>
    <w:uiPriority w:val="99"/>
    <w:unhideWhenUsed/>
    <w:rsid w:val="00F14557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F1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1455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14557"/>
    <w:rPr>
      <w:rFonts w:ascii="Arial" w:eastAsia="Arial" w:hAnsi="Arial" w:cs="Arial"/>
      <w:sz w:val="52"/>
      <w:szCs w:val="52"/>
      <w:lang w:eastAsia="pt-BR"/>
    </w:rPr>
  </w:style>
  <w:style w:type="character" w:styleId="Forte">
    <w:name w:val="Strong"/>
    <w:basedOn w:val="Fontepargpadro"/>
    <w:uiPriority w:val="22"/>
    <w:qFormat/>
    <w:rsid w:val="00E2589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65D0B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styleId="CitaoHTML">
    <w:name w:val="HTML Cite"/>
    <w:basedOn w:val="Fontepargpadro"/>
    <w:uiPriority w:val="99"/>
    <w:semiHidden/>
    <w:unhideWhenUsed/>
    <w:rsid w:val="00065D0B"/>
    <w:rPr>
      <w:rFonts w:cs="Times New Roman"/>
      <w:i/>
      <w:iCs/>
    </w:rPr>
  </w:style>
  <w:style w:type="character" w:customStyle="1" w:styleId="reference-accessdate">
    <w:name w:val="reference-accessdate"/>
    <w:basedOn w:val="Fontepargpadro"/>
    <w:rsid w:val="00065D0B"/>
    <w:rPr>
      <w:rFonts w:cs="Times New Roman"/>
    </w:rPr>
  </w:style>
  <w:style w:type="character" w:customStyle="1" w:styleId="a-size-large">
    <w:name w:val="a-size-large"/>
    <w:basedOn w:val="Fontepargpadro"/>
    <w:rsid w:val="00065D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G%C3%AAne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6/lei/l1134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2186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2021-02-16T20:59:00Z</dcterms:created>
  <dcterms:modified xsi:type="dcterms:W3CDTF">2021-02-16T21:28:00Z</dcterms:modified>
</cp:coreProperties>
</file>